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32" w:rsidRPr="00BE7760" w:rsidRDefault="00C66332" w:rsidP="00C66332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Электрон бизнес ва тижорат моделлари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Электрон бизнесни кўпинча учинчи минг йилнинг технологияси деб аташади.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да электрон бизнеснинг ривожи 1995 йилдан, тармоқни х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сусий фойдаланувчилар томонидан ўзлаштирабошлашларидан бошланган. Худди шу йили биринчилардан бўлган </w:t>
      </w:r>
      <w:r w:rsidRPr="00BE7760">
        <w:rPr>
          <w:sz w:val="28"/>
          <w:szCs w:val="28"/>
          <w:lang w:val="en-US"/>
        </w:rPr>
        <w:t>Amazon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магазини очилган.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Баъзида электрон бизнес ва электрон тижорат тушунчаларини арала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тиришади, аммо улар орасида анчагина фарқ бор:</w:t>
      </w:r>
    </w:p>
    <w:p w:rsidR="00C66332" w:rsidRPr="00BE7760" w:rsidRDefault="00C66332" w:rsidP="00C66332">
      <w:pPr>
        <w:spacing w:line="360" w:lineRule="auto"/>
        <w:ind w:left="1080" w:hanging="18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электрон бизнес (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business</w:t>
      </w:r>
      <w:r w:rsidRPr="00BE7760">
        <w:rPr>
          <w:sz w:val="28"/>
          <w:szCs w:val="28"/>
        </w:rPr>
        <w:t xml:space="preserve">) – фаолият самарадорлигини кўтариш мақсадида компания асосий бизнес жараёнларини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-технологиялардан фойдаланиб амалга оширишдир. Бошқача айтга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да электрон бизнес - компаниянинг ички ва ташқи алоқаларини амалга ошириш учун глобал ахборот тармоқларидан фойдаланувчи хизмат фаолиятидир.</w:t>
      </w:r>
    </w:p>
    <w:p w:rsidR="00C66332" w:rsidRPr="00BE7760" w:rsidRDefault="00C66332" w:rsidP="00C66332">
      <w:pPr>
        <w:spacing w:line="360" w:lineRule="auto"/>
        <w:ind w:left="1080" w:hanging="18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электрон тижорат (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commerce</w:t>
      </w:r>
      <w:r w:rsidRPr="00BE7760">
        <w:rPr>
          <w:sz w:val="28"/>
          <w:szCs w:val="28"/>
        </w:rPr>
        <w:t>) электрон бизнеснинг муҳим тарк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бий қисмидир. Электрон тижорат бизнес-фаолиятининг турли шак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ларини - чакана ва улгуржи савдо, маркетинг, корхоналар орасидаги битим, иловаларни арендага бери, хизматларни тақдим эти шва ҳ. қамраб олади. Бу барча хизмат амаллари электрон шаклда компь</w:t>
      </w:r>
      <w:r w:rsidRPr="00BE7760">
        <w:rPr>
          <w:sz w:val="28"/>
          <w:szCs w:val="28"/>
        </w:rPr>
        <w:t>ю</w:t>
      </w:r>
      <w:r w:rsidRPr="00BE7760">
        <w:rPr>
          <w:sz w:val="28"/>
          <w:szCs w:val="28"/>
        </w:rPr>
        <w:t xml:space="preserve">тер тармоқлари (корпоратив ёки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) ёрдамида амалга оширил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-тижорат электрон тижоратнинг қисми бўлиб, барча транзакциялар ва битимлар электрон усулда глобал тармоқ орқали амалга оширилади.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Янги бозор замонавий ахборот технологияларининг қўлланишига асо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ланган ва истеъмолчи билан оператив (онлайн режимида) алоқа қилинишига мўлжалланган. Яқин орада электрон савдо амаллари ҳар қандай бизнеснинг асосий қисми бўлиб қолади.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lastRenderedPageBreak/>
        <w:t>Internet</w:t>
      </w:r>
      <w:r w:rsidRPr="00BE7760">
        <w:rPr>
          <w:sz w:val="28"/>
          <w:szCs w:val="28"/>
        </w:rPr>
        <w:t>-технологиялардан фойдаланувчи компаниялар рақибларига нисбатан афзаллика аввало масалаларини оператив ҳал қилишлари эвазига эришадилар. В2С, В2В ва Р2Р схемалари ҳозирда электрон бизнесни олиб боришнинг асосий моделлари ҳисобланади.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В2С (</w:t>
      </w:r>
      <w:r w:rsidRPr="00BE7760">
        <w:rPr>
          <w:sz w:val="28"/>
          <w:szCs w:val="28"/>
          <w:lang w:val="en-US"/>
        </w:rPr>
        <w:t>Business</w:t>
      </w:r>
      <w:r w:rsidRPr="00BE7760">
        <w:rPr>
          <w:sz w:val="28"/>
          <w:szCs w:val="28"/>
        </w:rPr>
        <w:t xml:space="preserve"> – </w:t>
      </w:r>
      <w:r w:rsidRPr="00BE7760">
        <w:rPr>
          <w:sz w:val="28"/>
          <w:szCs w:val="28"/>
          <w:lang w:val="en-US"/>
        </w:rPr>
        <w:t>to</w:t>
      </w:r>
      <w:r w:rsidRPr="00BE7760">
        <w:rPr>
          <w:sz w:val="28"/>
          <w:szCs w:val="28"/>
        </w:rPr>
        <w:t xml:space="preserve"> - </w:t>
      </w:r>
      <w:r w:rsidRPr="00BE7760">
        <w:rPr>
          <w:sz w:val="28"/>
          <w:szCs w:val="28"/>
          <w:lang w:val="en-US"/>
        </w:rPr>
        <w:t>Consumer</w:t>
      </w:r>
      <w:r w:rsidRPr="00BE7760">
        <w:rPr>
          <w:sz w:val="28"/>
          <w:szCs w:val="28"/>
        </w:rPr>
        <w:t xml:space="preserve">) "бизнес истеъмолчи" схемаси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хусусий кишига молларни ва хизматларни чакана сотишни ифодала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ди. 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В2В (</w:t>
      </w:r>
      <w:r w:rsidRPr="00BE7760">
        <w:rPr>
          <w:sz w:val="28"/>
          <w:szCs w:val="28"/>
          <w:lang w:val="en-US"/>
        </w:rPr>
        <w:t>Business</w:t>
      </w:r>
      <w:r w:rsidRPr="00BE7760">
        <w:rPr>
          <w:sz w:val="28"/>
          <w:szCs w:val="28"/>
        </w:rPr>
        <w:t xml:space="preserve"> – </w:t>
      </w:r>
      <w:r w:rsidRPr="00BE7760">
        <w:rPr>
          <w:sz w:val="28"/>
          <w:szCs w:val="28"/>
          <w:lang w:val="en-US"/>
        </w:rPr>
        <w:t>to</w:t>
      </w:r>
      <w:r w:rsidRPr="00BE7760">
        <w:rPr>
          <w:sz w:val="28"/>
          <w:szCs w:val="28"/>
        </w:rPr>
        <w:t xml:space="preserve"> - </w:t>
      </w:r>
      <w:r w:rsidRPr="00BE7760">
        <w:rPr>
          <w:sz w:val="28"/>
          <w:szCs w:val="28"/>
          <w:lang w:val="en-US"/>
        </w:rPr>
        <w:t>Business</w:t>
      </w:r>
      <w:r w:rsidRPr="00BE7760">
        <w:rPr>
          <w:sz w:val="28"/>
          <w:szCs w:val="28"/>
        </w:rPr>
        <w:t>) "бизнес-бизнес" схемаси компанияла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 бир бири билан махсус ахборот технологияларидан ва маълумотларни электрон алмашиш стандартларидан фойдаланган ҳолда ўзаро алоқасини ифодалайди.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Peer</w:t>
      </w:r>
      <w:r w:rsidRPr="00BE7760">
        <w:rPr>
          <w:sz w:val="28"/>
          <w:szCs w:val="28"/>
        </w:rPr>
        <w:t xml:space="preserve"> – </w:t>
      </w:r>
      <w:r w:rsidRPr="00BE7760">
        <w:rPr>
          <w:sz w:val="28"/>
          <w:szCs w:val="28"/>
          <w:lang w:val="en-US"/>
        </w:rPr>
        <w:t>to</w:t>
      </w:r>
      <w:r w:rsidRPr="00BE7760">
        <w:rPr>
          <w:sz w:val="28"/>
          <w:szCs w:val="28"/>
        </w:rPr>
        <w:t xml:space="preserve"> – </w:t>
      </w:r>
      <w:r w:rsidRPr="00BE7760">
        <w:rPr>
          <w:sz w:val="28"/>
          <w:szCs w:val="28"/>
          <w:lang w:val="en-US"/>
        </w:rPr>
        <w:t>Peer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Partner</w:t>
      </w:r>
      <w:r w:rsidRPr="00BE7760">
        <w:rPr>
          <w:sz w:val="28"/>
          <w:szCs w:val="28"/>
        </w:rPr>
        <w:t xml:space="preserve"> – </w:t>
      </w:r>
      <w:r w:rsidRPr="00BE7760">
        <w:rPr>
          <w:sz w:val="28"/>
          <w:szCs w:val="28"/>
          <w:lang w:val="en-US"/>
        </w:rPr>
        <w:t>to</w:t>
      </w:r>
      <w:r w:rsidRPr="00BE7760">
        <w:rPr>
          <w:sz w:val="28"/>
          <w:szCs w:val="28"/>
        </w:rPr>
        <w:t xml:space="preserve"> - </w:t>
      </w:r>
      <w:r w:rsidRPr="00BE7760">
        <w:rPr>
          <w:sz w:val="28"/>
          <w:szCs w:val="28"/>
          <w:lang w:val="en-US"/>
        </w:rPr>
        <w:t>Partner</w:t>
      </w:r>
      <w:r w:rsidRPr="00BE7760">
        <w:rPr>
          <w:sz w:val="28"/>
          <w:szCs w:val="28"/>
        </w:rPr>
        <w:t xml:space="preserve">) бизнес муносабатнинг "тенг-тенг" схемаси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да бир хил ҳолатда бўлган шериклар ўртасидаги бизнес 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носабатни ифодалайди.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В2В "бизнес-истеъмолчи" модели. Тижорат нуқтаи назаридан В2С "бизнес-истеъмолчи" модели электрон тижоратнинг энг истиқболли йўналиши ҳисобланади, чунки унинг асосини электрон чакана савдо та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кил этади.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чакана савдо иқтисодиётнинг тез ривожланаётган соҳаси бўлиб электрон тижорат бозорининг анча-мунча улушини ташкил этади. В2С тизимларига қуйидагилар тааллуқли: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савдо компанияларининг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-дизайн воситалари ёрдамида расми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лаштирилган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-витриналар;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 магазинлар, уларда, одатда, витринадан ташқари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электрон савдо жараёнини бошқариш учун керакли бизнес – инфр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структура – </w:t>
      </w:r>
      <w:r w:rsidRPr="00BE7760">
        <w:rPr>
          <w:sz w:val="28"/>
          <w:szCs w:val="28"/>
          <w:lang w:val="en-US"/>
        </w:rPr>
        <w:t>back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office</w:t>
      </w:r>
      <w:r w:rsidRPr="00BE7760">
        <w:rPr>
          <w:sz w:val="28"/>
          <w:szCs w:val="28"/>
        </w:rPr>
        <w:t xml:space="preserve"> мавжуд;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back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office</w:t>
      </w:r>
      <w:r w:rsidRPr="00BE7760">
        <w:rPr>
          <w:sz w:val="28"/>
          <w:szCs w:val="28"/>
        </w:rPr>
        <w:t xml:space="preserve"> лари компаниянинг савдо бизнес – жараёнлари билан тўла интеграцияланган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-магазинлардан иборат 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-тизимлар.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Уччало ҳолда ҳам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савдо қилинсада, ҳар бир вариант савдо жараёнининг турли автоматлаштирилган даражасига эга. Харидорла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га хизмат қилиш мураккаблиги нуқтаи назаридан турли савияга эга, савдо қилишга харажат ҳам турлича.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-витриналар амалга оширилишида нисбатан арзон ва етарлича о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 xml:space="preserve">дий сайтлар ҳисобланади. Техника нуқтаи назаридан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-витрина- каталог, навигация тизими ва буюртмани расмийлаштириш (менеджерга кейинги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ланиш учун узатилади) мажмуидир. Бошқача айтганда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-витрина ёрдам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 буюртмага савдо ташкил этилади. Бундай сайтларда маълум компани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нинг товарлар рўйхати (прайс-лист) онлайн каталоги кўринишида қўйилади. Таъкидлаш лозимки,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-витринанинг рентабеллиги оддий савдо юритиш рентабеллигидан унчалик фарқ қилмайди.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-магазинлар. Электрон интернет-магазинларнинг ахборот те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нологиялари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дан фойдалана олувчи харидорга уйидан чиқмасдан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риб турли фирмаларнинг товар ва хизмат навлари билан танишишга, ула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нинг сифати ва нархи бўйича ахборот олишга,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тўловни амалга оширишга ва уйга етказиб бериш билан харид қилишга имкон беради. Ум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мий ҳолда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-магазиннинг асосий вазифалари-харидорга ахборот хизм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тини кўрсатиш, буюртмаларни ишлаш, тўловларни амалга ошириш ҳамда турли статистик ахборотларни йиғиш ва тахлиллаш.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-магазинни бошқариш схемаси 2.1-расмда келтирилган.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 схемада: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-сервер – тушган сўровларни тақсимлайди, фойдаланишни чег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ралайди;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иловалар сервери – барча тизим ишлашини, хусусан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 бизнес мантиқини бошқаради;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МББТ(маълумотлар базасини бошқариш тизими) иловалар, мижо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лар, счетлар ва ҳ. хусусидаги ахборотни сақлашни ва ишлашни амалга оширади.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9pt;margin-top:9pt;width:387pt;height:270pt;z-index:251660288" coordorigin="2781,3654" coordsize="7740,5400">
            <v:group id="_x0000_s1027" style="position:absolute;left:2961;top:3654;width:7560;height:4680" coordorigin="2961,3654" coordsize="7560,468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5841;top:3654;width:1620;height:900">
                <v:textbox style="mso-next-textbox:#_x0000_s1028" inset="0,0,0,0">
                  <w:txbxContent>
                    <w:p w:rsidR="00C66332" w:rsidRPr="00730C9D" w:rsidRDefault="00C66332" w:rsidP="00C66332">
                      <w:pPr>
                        <w:jc w:val="center"/>
                      </w:pPr>
                      <w:r>
                        <w:t>Ташкилотнинг бизнес           жараёни</w:t>
                      </w:r>
                    </w:p>
                  </w:txbxContent>
                </v:textbox>
              </v:shape>
              <v:shape id="_x0000_s1029" type="#_x0000_t202" style="position:absolute;left:8901;top:5454;width:1620;height:1080">
                <v:textbox style="mso-next-textbox:#_x0000_s1029">
                  <w:txbxContent>
                    <w:p w:rsidR="00C66332" w:rsidRDefault="00C66332" w:rsidP="00C66332">
                      <w:pPr>
                        <w:jc w:val="center"/>
                      </w:pPr>
                      <w:r>
                        <w:t>Иловалар сервери</w:t>
                      </w:r>
                    </w:p>
                  </w:txbxContent>
                </v:textbox>
              </v:shape>
              <v:shape id="_x0000_s1030" type="#_x0000_t202" style="position:absolute;left:8901;top:3654;width:1620;height:900">
                <v:textbox style="mso-next-textbox:#_x0000_s1030">
                  <w:txbxContent>
                    <w:p w:rsidR="00C66332" w:rsidRDefault="00C66332" w:rsidP="00C66332">
                      <w:pPr>
                        <w:jc w:val="center"/>
                      </w:pPr>
                    </w:p>
                    <w:p w:rsidR="00C66332" w:rsidRDefault="00C66332" w:rsidP="00C66332">
                      <w:pPr>
                        <w:jc w:val="center"/>
                      </w:pPr>
                      <w:r>
                        <w:t>МББТ</w:t>
                      </w:r>
                    </w:p>
                  </w:txbxContent>
                </v:textbox>
              </v:shape>
              <v:shape id="_x0000_s1031" type="#_x0000_t202" style="position:absolute;left:5481;top:5094;width:2520;height:1620">
                <v:textbox style="mso-next-textbox:#_x0000_s1031">
                  <w:txbxContent>
                    <w:p w:rsidR="00C66332" w:rsidRDefault="00C66332" w:rsidP="00C66332"/>
                  </w:txbxContent>
                </v:textbox>
              </v:shape>
              <v:shape id="_x0000_s1032" type="#_x0000_t202" style="position:absolute;left:2961;top:5454;width:1620;height:900">
                <v:textbox style="mso-next-textbox:#_x0000_s1032">
                  <w:txbxContent>
                    <w:p w:rsidR="00C66332" w:rsidRDefault="00C66332" w:rsidP="00C66332"/>
                    <w:p w:rsidR="00C66332" w:rsidRDefault="00C66332" w:rsidP="00C66332">
                      <w:pPr>
                        <w:jc w:val="center"/>
                      </w:pPr>
                      <w:r>
                        <w:t xml:space="preserve">Мижоз </w:t>
                      </w:r>
                    </w:p>
                  </w:txbxContent>
                </v:textbox>
              </v:shape>
              <v:shape id="_x0000_s1033" type="#_x0000_t202" style="position:absolute;left:5826;top:5724;width:1620;height:540" filled="f" fillcolor="yellow" stroked="f">
                <v:textbox style="mso-next-textbox:#_x0000_s1033">
                  <w:txbxContent>
                    <w:p w:rsidR="00C66332" w:rsidRPr="00730C9D" w:rsidRDefault="00C66332" w:rsidP="00C66332">
                      <w:r>
                        <w:rPr>
                          <w:lang w:val="en-US"/>
                        </w:rPr>
                        <w:t>Web</w:t>
                      </w:r>
                      <w:r>
                        <w:t>-сервер</w:t>
                      </w:r>
                    </w:p>
                  </w:txbxContent>
                </v:textbox>
              </v:shape>
              <v:line id="_x0000_s1034" style="position:absolute" from="7101,5274" to="8001,5274">
                <v:stroke dashstyle="dash"/>
              </v:line>
              <v:line id="_x0000_s1035" style="position:absolute" from="8001,5634" to="8901,5634">
                <v:stroke endarrow="block"/>
              </v:line>
              <v:line id="_x0000_s1036" style="position:absolute;flip:y" from="6381,6354" to="6381,6714">
                <v:stroke dashstyle="dash"/>
              </v:line>
              <v:line id="_x0000_s1037" style="position:absolute;flip:y" from="6381,4554" to="6381,5094">
                <v:stroke endarrow="block"/>
              </v:line>
              <v:line id="_x0000_s1038" style="position:absolute" from="8001,5994" to="8901,5994">
                <v:stroke startarrow="block" endarrow="block"/>
              </v:line>
              <v:line id="_x0000_s1039" style="position:absolute" from="8001,6354" to="8901,6354">
                <v:stroke endarrow="block"/>
              </v:line>
              <v:line id="_x0000_s1040" style="position:absolute" from="6381,6354" to="8001,6354">
                <v:stroke dashstyle="dash"/>
              </v:line>
              <v:line id="_x0000_s1041" style="position:absolute" from="6381,6714" to="6381,7434">
                <v:stroke endarrow="block"/>
              </v:line>
              <v:line id="_x0000_s1042" style="position:absolute;flip:y" from="6381,5094" to="6381,5634">
                <v:stroke dashstyle="dash"/>
              </v:line>
              <v:line id="_x0000_s1043" style="position:absolute" from="4581,5994" to="5481,5994">
                <v:stroke startarrow="block" endarrow="block"/>
              </v:line>
              <v:line id="_x0000_s1044" style="position:absolute" from="8541,4194" to="8901,4194">
                <v:stroke endarrow="block"/>
              </v:line>
              <v:line id="_x0000_s1045" style="position:absolute" from="8541,4194" to="8541,5274"/>
              <v:line id="_x0000_s1046" style="position:absolute;flip:x" from="8001,5274" to="8541,5274"/>
              <v:line id="_x0000_s1047" style="position:absolute" from="6381,5634" to="8001,5634">
                <v:stroke dashstyle="dash"/>
              </v:line>
              <v:line id="_x0000_s1048" style="position:absolute;flip:y" from="7101,5094" to="7101,5274">
                <v:stroke dashstyle="dash"/>
              </v:line>
              <v:line id="_x0000_s1049" style="position:absolute;flip:y" from="7101,4554" to="7101,5094">
                <v:stroke endarrow="block"/>
              </v:line>
              <v:shape id="_x0000_s1050" type="#_x0000_t202" style="position:absolute;left:6021;top:7434;width:1620;height:900">
                <v:textbox style="mso-next-textbox:#_x0000_s1050">
                  <w:txbxContent>
                    <w:p w:rsidR="00C66332" w:rsidRDefault="00C66332" w:rsidP="00C66332">
                      <w:pPr>
                        <w:jc w:val="center"/>
                      </w:pPr>
                      <w:r>
                        <w:t>Тулов                   т</w:t>
                      </w:r>
                      <w:r>
                        <w:t>и</w:t>
                      </w:r>
                      <w:r>
                        <w:t>зими</w:t>
                      </w:r>
                    </w:p>
                  </w:txbxContent>
                </v:textbox>
              </v:shape>
            </v:group>
            <v:shape id="_x0000_s1051" type="#_x0000_t202" style="position:absolute;left:2781;top:8514;width:7740;height:540" filled="f" stroked="f">
              <v:textbox style="mso-next-textbox:#_x0000_s1051">
                <w:txbxContent>
                  <w:p w:rsidR="00C66332" w:rsidRPr="001F09D2" w:rsidRDefault="00C66332" w:rsidP="00C66332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1F09D2">
                      <w:rPr>
                        <w:rFonts w:ascii="PANDA Times UZ" w:hAnsi="PANDA Times UZ"/>
                        <w:i/>
                      </w:rPr>
                      <w:t xml:space="preserve">2.1-расм. </w:t>
                    </w:r>
                    <w:r w:rsidRPr="001F09D2">
                      <w:rPr>
                        <w:rFonts w:ascii="PANDA Times UZ" w:hAnsi="PANDA Times UZ"/>
                        <w:i/>
                        <w:lang w:val="en-US"/>
                      </w:rPr>
                      <w:t>Internet</w:t>
                    </w:r>
                    <w:r w:rsidRPr="001F09D2">
                      <w:rPr>
                        <w:rFonts w:ascii="PANDA Times UZ" w:hAnsi="PANDA Times UZ"/>
                        <w:i/>
                      </w:rPr>
                      <w:t>-магазинни бош</w:t>
                    </w:r>
                    <w:r w:rsidRPr="001F09D2">
                      <w:rPr>
                        <w:rFonts w:ascii="PANDA Times UZ" w:hAnsi="PANDA Times UZ"/>
                        <w:i/>
                        <w:lang w:val="en-US"/>
                      </w:rPr>
                      <w:t>š</w:t>
                    </w:r>
                    <w:r w:rsidRPr="001F09D2">
                      <w:rPr>
                        <w:rFonts w:ascii="PANDA Times UZ" w:hAnsi="PANDA Times UZ"/>
                        <w:i/>
                      </w:rPr>
                      <w:t>ариш схемаси</w:t>
                    </w:r>
                  </w:p>
                </w:txbxContent>
              </v:textbox>
            </v:shape>
          </v:group>
        </w:pic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Талабга жавоб берадиган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-магазиннинг таъминоти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-витринаникига қараганда қимматга тушсада, унинг имкониятлари жуда кенг ва рентабеллиги юқори. Ундан ташқари, ахборотнинг динамик ишланиши ва маълумотлар базасининг мавжудлиги эвазига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 ҳар бир рўйхатдан ўтган харидор билан индивидуал ишлаш имкониятига эга.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тизимлари чакана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савдо ривожининг юқори поғонаси ҳисобланади. 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тизимининг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-магазиндан фарқи унинг сотувчининг автоматлаштирилган корпоратив тизими билан интегр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цияланганидир. Бу эса компаниянинг молия-хўжалик фаолиятини оптима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лаштиришга имкон беради.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-тизими сотувни бевосита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ташкил эти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ни мўлжаллаган ишлаб чиқарувчи компаниялар учун энг яхши танлов </w:t>
      </w:r>
      <w:r w:rsidRPr="00BE7760">
        <w:rPr>
          <w:sz w:val="28"/>
          <w:szCs w:val="28"/>
        </w:rPr>
        <w:lastRenderedPageBreak/>
        <w:t xml:space="preserve">ҳисобланади. Бу ҳолда 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тизими сотув ахборот тизимини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лаб-чиқариш ва етказиб бериш тизими билан боғловчи бўғин вазифасини ўтайди. Савдо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тизимининг ишлатилиши харажатларнинг кўпгина қисмларини, хусусан тайёр махсулотнинг катта захирасини омборга жойла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тириш харажатининг қисқаришига олиб келади.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 xml:space="preserve"> "бизнес-бизнес" модели. Бу модел компанияларнинг бир-бири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лан, мос ахборот технологиялари ва маълумотларни электрон алмашиш ста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дартларидан фойдаланиб ўзаро электрон алоқасини ифодалайди. Корхона ва компаниялар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нинг махсус виртуал майдончаси (электрон биржа) орқали ахборот алмашиш, янги партнерлар ва таъминловчиларни топиш ҳамда савдо амалл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рини ўтказиш имкониятига эга бўлади. 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-майдончанинг (электрон биржанинг) тахминий схемаси             2.2-расмда келтирилган.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Расмдан кўриниб турибдики,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-савдо майдончаси марказлаштиру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чи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-портал асосида истеъмолчилар ва танъминловчилар учун ечимларни бир бутунга бирлаштиради. Таъминловчилар ва истеъмолчилар сифатида й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рик, ўрта ва кичик компаниялар иштирок этишлари мумкин.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Савдо майдончасининг муайян хилига боғлиқ ҳолда майдончани яр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тувчилар истеъмолчиларга ёки таъминловчиларга зарур бўлган компонен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ларни амалга оширилишига урғу берадилар.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биржалар каталоглар бўйича сотиб олиш ва сотишни, таъми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лаш занжирини режалаштириш, маҳсулотни биргаликда ишлаб чиқиш, ау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цион орқали савдони ва ҳ. мададлайди. Оқибат натижада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биржалар бизнес бўйича партнерлар алоқасини оптималлаштиришга 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кон яратади ва умуман бизнес самарасини оширади.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Бизнес муносабатнинг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 xml:space="preserve"> "тенг-тенг" схемаси.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2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 xml:space="preserve"> схеманинг ас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сини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-аукционлар ташкил этади ва уларда турли товар ва хизматларни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тиб олиш/сотиш амалга оширилади. Аукционлар тармоқда савдони ташкил этувчининг сайтига ўрнатилган махсус дастурий таъминот ёрдамида ўтказилади.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-аукционда қатнашиш учун фойдаланувчи аукцион </w:t>
      </w:r>
      <w:r w:rsidRPr="00BE7760">
        <w:rPr>
          <w:sz w:val="28"/>
          <w:szCs w:val="28"/>
          <w:lang w:val="en-US"/>
        </w:rPr>
        <w:t>WWW</w:t>
      </w:r>
      <w:r w:rsidRPr="00BE7760">
        <w:rPr>
          <w:sz w:val="28"/>
          <w:szCs w:val="28"/>
        </w:rPr>
        <w:t>-серверларнинг бирига аъзо бўлиши ва товар олиш (ёки ўзининг тов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рини сотиш учун тақдим этиш) истагини маълум қилиши лозим. Рўйхатдан ўтишга банкда электрон ҳисоб рақами бўлиши кифоя. Рўйхатдан ўтганидан сўнг фойдаланувчи ўзининг паролини айтади.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52" style="position:absolute;left:0;text-align:left;margin-left:63pt;margin-top:-9pt;width:333pt;height:531pt;z-index:251661312" coordorigin="3141,1955" coordsize="6660,10620">
            <v:shape id="_x0000_s1053" type="#_x0000_t202" style="position:absolute;left:5661;top:2495;width:1800;height:360">
              <v:textbox style="mso-next-textbox:#_x0000_s1053" inset="1.5mm,,1.5mm">
                <w:txbxContent>
                  <w:p w:rsidR="00C66332" w:rsidRPr="00A3457F" w:rsidRDefault="00C66332" w:rsidP="00C66332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¡ртача комп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ния 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054" type="#_x0000_t202" style="position:absolute;left:3321;top:2495;width:1980;height:360">
              <v:textbox style="mso-next-textbox:#_x0000_s1054">
                <w:txbxContent>
                  <w:p w:rsidR="00C66332" w:rsidRPr="00A3457F" w:rsidRDefault="00C66332" w:rsidP="00C66332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>Йирик комп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ния </w:t>
                    </w:r>
                  </w:p>
                </w:txbxContent>
              </v:textbox>
            </v:shape>
            <v:shape id="_x0000_s1055" type="#_x0000_t202" style="position:absolute;left:7821;top:2495;width:1800;height:360">
              <v:textbox style="mso-next-textbox:#_x0000_s1055" inset="1.5mm,,1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Кичик компания</w:t>
                    </w:r>
                  </w:p>
                </w:txbxContent>
              </v:textbox>
            </v:shape>
            <v:shape id="_x0000_s1056" type="#_x0000_t202" style="position:absolute;left:3321;top:3215;width:1980;height:360">
              <v:textbox style="mso-next-textbox:#_x0000_s1056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57" type="#_x0000_t202" style="position:absolute;left:5661;top:3215;width:1800;height:360">
              <v:textbox style="mso-next-textbox:#_x0000_s1057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58" type="#_x0000_t202" style="position:absolute;left:7821;top:3215;width:1800;height:360">
              <v:textbox style="mso-next-textbox:#_x0000_s1058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59" type="#_x0000_t202" style="position:absolute;left:3321;top:3935;width:1980;height:360">
              <v:textbox style="mso-next-textbox:#_x0000_s1059" inset=".5mm,,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Тармоšлараро экран</w:t>
                    </w:r>
                  </w:p>
                </w:txbxContent>
              </v:textbox>
            </v:shape>
            <v:rect id="_x0000_s1060" style="position:absolute;left:3141;top:4835;width:6660;height:4320"/>
            <v:shape id="_x0000_s1061" type="#_x0000_t202" style="position:absolute;left:3321;top:5015;width:1512;height:360" stroked="f">
              <v:textbox style="mso-next-textbox:#_x0000_s1061">
                <w:txbxContent>
                  <w:p w:rsidR="00C66332" w:rsidRPr="00D6115F" w:rsidRDefault="00C66332" w:rsidP="00C66332">
                    <w:pPr>
                      <w:rPr>
                        <w:sz w:val="20"/>
                        <w:szCs w:val="20"/>
                      </w:rPr>
                    </w:pPr>
                    <w:r w:rsidRPr="00D6115F">
                      <w:rPr>
                        <w:sz w:val="20"/>
                        <w:szCs w:val="20"/>
                      </w:rPr>
                      <w:t xml:space="preserve">Контент </w:t>
                    </w:r>
                  </w:p>
                </w:txbxContent>
              </v:textbox>
            </v:shape>
            <v:rect id="_x0000_s1062" style="position:absolute;left:4941;top:5015;width:1296;height:1080"/>
            <v:shape id="_x0000_s1063" type="#_x0000_t202" style="position:absolute;left:5106;top:4940;width:4320;height:1440" stroked="f">
              <v:textbox style="mso-next-textbox:#_x0000_s1063" inset="1.5mm,,1.5mm">
                <w:txbxContent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Каталоглар: бош</w:t>
                    </w:r>
                    <w:r>
                      <w:rPr>
                        <w:sz w:val="18"/>
                        <w:szCs w:val="18"/>
                      </w:rPr>
                      <w:t>қ</w:t>
                    </w:r>
                    <w:r w:rsidRPr="00D6115F">
                      <w:rPr>
                        <w:sz w:val="18"/>
                        <w:szCs w:val="18"/>
                      </w:rPr>
                      <w:t xml:space="preserve">ариш ва </w:t>
                    </w:r>
                    <w:r>
                      <w:rPr>
                        <w:sz w:val="18"/>
                        <w:szCs w:val="18"/>
                      </w:rPr>
                      <w:t>қ</w:t>
                    </w:r>
                    <w:r w:rsidRPr="00D6115F">
                      <w:rPr>
                        <w:sz w:val="18"/>
                        <w:szCs w:val="18"/>
                      </w:rPr>
                      <w:t>идиришни ташкил этиш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 xml:space="preserve">Янгиликлар 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Ходисалар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 xml:space="preserve">Эълонлар тахтаси 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Мунозара форуми</w:t>
                    </w:r>
                  </w:p>
                </w:txbxContent>
              </v:textbox>
            </v:shape>
            <v:shape id="_x0000_s1064" type="#_x0000_t202" style="position:absolute;left:3321;top:6455;width:1512;height:540" stroked="f">
              <v:textbox style="mso-next-textbox:#_x0000_s1064" inset=".5mm,0,.5mm,0">
                <w:txbxContent>
                  <w:p w:rsidR="00C66332" w:rsidRPr="00D6115F" w:rsidRDefault="00C66332" w:rsidP="00C66332">
                    <w:pPr>
                      <w:rPr>
                        <w:sz w:val="20"/>
                        <w:szCs w:val="20"/>
                      </w:rPr>
                    </w:pPr>
                    <w:r w:rsidRPr="00D6115F">
                      <w:rPr>
                        <w:sz w:val="20"/>
                        <w:szCs w:val="20"/>
                      </w:rPr>
                      <w:t xml:space="preserve">Транзакция </w:t>
                    </w:r>
                    <w:r>
                      <w:rPr>
                        <w:sz w:val="20"/>
                        <w:szCs w:val="20"/>
                      </w:rPr>
                      <w:t xml:space="preserve">         </w:t>
                    </w:r>
                    <w:r w:rsidRPr="00D6115F">
                      <w:rPr>
                        <w:sz w:val="20"/>
                        <w:szCs w:val="20"/>
                      </w:rPr>
                      <w:t>хи</w:t>
                    </w:r>
                    <w:r w:rsidRPr="00D6115F">
                      <w:rPr>
                        <w:sz w:val="20"/>
                        <w:szCs w:val="20"/>
                      </w:rPr>
                      <w:t>з</w:t>
                    </w:r>
                    <w:r w:rsidRPr="00D6115F">
                      <w:rPr>
                        <w:sz w:val="20"/>
                        <w:szCs w:val="20"/>
                      </w:rPr>
                      <w:t>матлари</w:t>
                    </w:r>
                  </w:p>
                </w:txbxContent>
              </v:textbox>
            </v:shape>
            <v:rect id="_x0000_s1065" style="position:absolute;left:4941;top:6455;width:1296;height:1080"/>
            <v:shape id="_x0000_s1066" type="#_x0000_t202" style="position:absolute;left:5121;top:6410;width:4320;height:1440" stroked="f">
              <v:textbox style="mso-next-textbox:#_x0000_s1066" inset=".5mm,,.5mm">
                <w:txbxContent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 xml:space="preserve">Харид </w:t>
                    </w:r>
                    <w:r>
                      <w:rPr>
                        <w:sz w:val="18"/>
                        <w:szCs w:val="18"/>
                      </w:rPr>
                      <w:t>қ</w:t>
                    </w:r>
                    <w:r w:rsidRPr="00D6115F">
                      <w:rPr>
                        <w:sz w:val="18"/>
                        <w:szCs w:val="18"/>
                      </w:rPr>
                      <w:t>илишга с</w:t>
                    </w:r>
                    <w:r>
                      <w:rPr>
                        <w:sz w:val="18"/>
                        <w:szCs w:val="18"/>
                      </w:rPr>
                      <w:t>ў</w:t>
                    </w:r>
                    <w:r w:rsidRPr="00D6115F">
                      <w:rPr>
                        <w:sz w:val="18"/>
                        <w:szCs w:val="18"/>
                      </w:rPr>
                      <w:t>ров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Нархларга с</w:t>
                    </w:r>
                    <w:r>
                      <w:rPr>
                        <w:sz w:val="18"/>
                        <w:szCs w:val="18"/>
                      </w:rPr>
                      <w:t>ў</w:t>
                    </w:r>
                    <w:r w:rsidRPr="00D6115F">
                      <w:rPr>
                        <w:sz w:val="18"/>
                        <w:szCs w:val="18"/>
                      </w:rPr>
                      <w:t xml:space="preserve">ров 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 xml:space="preserve">Буюртма: кузатиб туриш, </w:t>
                    </w:r>
                    <w:r>
                      <w:rPr>
                        <w:sz w:val="18"/>
                        <w:szCs w:val="18"/>
                      </w:rPr>
                      <w:t>мақомини</w:t>
                    </w:r>
                    <w:r w:rsidRPr="00D6115F">
                      <w:rPr>
                        <w:sz w:val="18"/>
                        <w:szCs w:val="18"/>
                      </w:rPr>
                      <w:t xml:space="preserve"> текшириш, тарих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Счет-фактура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Т</w:t>
                    </w:r>
                    <w:r>
                      <w:rPr>
                        <w:sz w:val="18"/>
                        <w:szCs w:val="18"/>
                      </w:rPr>
                      <w:t>ў</w:t>
                    </w:r>
                    <w:r w:rsidRPr="00D6115F">
                      <w:rPr>
                        <w:sz w:val="18"/>
                        <w:szCs w:val="18"/>
                      </w:rPr>
                      <w:t>ловлар: инициализациялаш ва тасди</w:t>
                    </w:r>
                    <w:r>
                      <w:rPr>
                        <w:sz w:val="18"/>
                        <w:szCs w:val="18"/>
                      </w:rPr>
                      <w:t>қ</w:t>
                    </w:r>
                    <w:r w:rsidRPr="00D6115F">
                      <w:rPr>
                        <w:sz w:val="18"/>
                        <w:szCs w:val="18"/>
                      </w:rPr>
                      <w:t>лаш</w:t>
                    </w:r>
                  </w:p>
                </w:txbxContent>
              </v:textbox>
            </v:shape>
            <v:shape id="_x0000_s1067" type="#_x0000_t202" style="position:absolute;left:3321;top:7715;width:1512;height:540" stroked="f">
              <v:textbox style="mso-next-textbox:#_x0000_s1067" inset=".5mm,0,.5mm,0">
                <w:txbxContent>
                  <w:p w:rsidR="00C66332" w:rsidRPr="00D6115F" w:rsidRDefault="00C66332" w:rsidP="00C66332">
                    <w:pPr>
                      <w:rPr>
                        <w:sz w:val="20"/>
                        <w:szCs w:val="20"/>
                      </w:rPr>
                    </w:pPr>
                    <w:r w:rsidRPr="00D6115F">
                      <w:rPr>
                        <w:sz w:val="20"/>
                        <w:szCs w:val="20"/>
                      </w:rPr>
                      <w:t>Қўшимча         хи</w:t>
                    </w:r>
                    <w:r w:rsidRPr="00D6115F">
                      <w:rPr>
                        <w:sz w:val="20"/>
                        <w:szCs w:val="20"/>
                      </w:rPr>
                      <w:t>з</w:t>
                    </w:r>
                    <w:r w:rsidRPr="00D6115F">
                      <w:rPr>
                        <w:sz w:val="20"/>
                        <w:szCs w:val="20"/>
                      </w:rPr>
                      <w:t>матлари</w:t>
                    </w:r>
                  </w:p>
                </w:txbxContent>
              </v:textbox>
            </v:shape>
            <v:rect id="_x0000_s1068" style="position:absolute;left:4941;top:7715;width:1296;height:1080"/>
            <v:shape id="_x0000_s1069" type="#_x0000_t202" style="position:absolute;left:5121;top:7659;width:4320;height:1364" stroked="f">
              <v:textbox style="mso-next-textbox:#_x0000_s1069" inset=".5mm,,.5mm">
                <w:txbxContent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Аналитика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Аукцион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Ҳ</w:t>
                    </w:r>
                    <w:r w:rsidRPr="00D6115F">
                      <w:rPr>
                        <w:sz w:val="18"/>
                        <w:szCs w:val="18"/>
                      </w:rPr>
                      <w:t>исоботлилик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Молиявий хизматлар</w:t>
                    </w:r>
                  </w:p>
                  <w:p w:rsidR="00C66332" w:rsidRPr="00D6115F" w:rsidRDefault="00C66332" w:rsidP="00C66332">
                    <w:pPr>
                      <w:rPr>
                        <w:sz w:val="18"/>
                        <w:szCs w:val="18"/>
                      </w:rPr>
                    </w:pPr>
                    <w:r w:rsidRPr="00D6115F">
                      <w:rPr>
                        <w:sz w:val="18"/>
                        <w:szCs w:val="18"/>
                      </w:rPr>
                      <w:t>Логистика</w:t>
                    </w:r>
                  </w:p>
                </w:txbxContent>
              </v:textbox>
            </v:shape>
            <v:shape id="_x0000_s1070" type="#_x0000_t202" style="position:absolute;left:5481;top:11135;width:1800;height:360">
              <v:textbox style="mso-next-textbox:#_x0000_s1070" inset="1.5mm,,1.5mm">
                <w:txbxContent>
                  <w:p w:rsidR="00C66332" w:rsidRPr="00A3457F" w:rsidRDefault="00C66332" w:rsidP="00C66332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¡ртача комп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ния 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071" type="#_x0000_t202" style="position:absolute;left:3141;top:11135;width:1980;height:360">
              <v:textbox style="mso-next-textbox:#_x0000_s1071">
                <w:txbxContent>
                  <w:p w:rsidR="00C66332" w:rsidRPr="00A3457F" w:rsidRDefault="00C66332" w:rsidP="00C66332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>Йирик комп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>а</w:t>
                    </w:r>
                    <w:r w:rsidRPr="00A3457F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ния </w:t>
                    </w:r>
                  </w:p>
                </w:txbxContent>
              </v:textbox>
            </v:shape>
            <v:shape id="_x0000_s1072" type="#_x0000_t202" style="position:absolute;left:7641;top:11135;width:1800;height:360">
              <v:textbox style="mso-next-textbox:#_x0000_s1072" inset="1.5mm,,1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Кичик компания</w:t>
                    </w:r>
                  </w:p>
                </w:txbxContent>
              </v:textbox>
            </v:shape>
            <v:shape id="_x0000_s1073" type="#_x0000_t202" style="position:absolute;left:3141;top:10415;width:1980;height:360">
              <v:textbox style="mso-next-textbox:#_x0000_s1073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74" type="#_x0000_t202" style="position:absolute;left:5481;top:10415;width:1800;height:360">
              <v:textbox style="mso-next-textbox:#_x0000_s1074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75" type="#_x0000_t202" style="position:absolute;left:7641;top:10415;width:1800;height:360">
              <v:textbox style="mso-next-textbox:#_x0000_s1075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браузер</w:t>
                    </w:r>
                  </w:p>
                </w:txbxContent>
              </v:textbox>
            </v:shape>
            <v:shape id="_x0000_s1076" type="#_x0000_t202" style="position:absolute;left:3141;top:9695;width:1980;height:360">
              <v:textbox style="mso-next-textbox:#_x0000_s1076" inset=".5mm,,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>Тармоšлараро экран</w:t>
                    </w:r>
                  </w:p>
                </w:txbxContent>
              </v:textbox>
            </v:shape>
            <v:shape id="_x0000_s1077" type="#_x0000_t202" style="position:absolute;left:5301;top:11676;width:1980;height:360" filled="f" stroked="f">
              <v:textbox style="mso-next-textbox:#_x0000_s1077" inset=".5mm,,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Истеъмолчилар  </w:t>
                    </w:r>
                  </w:p>
                </w:txbxContent>
              </v:textbox>
            </v:shape>
            <v:shape id="_x0000_s1078" type="#_x0000_t202" style="position:absolute;left:3501;top:12215;width:5760;height:360" filled="f" stroked="f">
              <v:textbox style="mso-next-textbox:#_x0000_s1078" inset=".5mm,.3mm,.5mm,.3mm">
                <w:txbxContent>
                  <w:p w:rsidR="00C66332" w:rsidRPr="00606022" w:rsidRDefault="00C66332" w:rsidP="00C66332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606022">
                      <w:rPr>
                        <w:rFonts w:ascii="PANDA Times UZ" w:hAnsi="PANDA Times UZ"/>
                        <w:i/>
                      </w:rPr>
                      <w:t>2.</w:t>
                    </w:r>
                    <w:r w:rsidRPr="00BA7611">
                      <w:rPr>
                        <w:rFonts w:ascii="PANDA Times UZ" w:hAnsi="PANDA Times UZ"/>
                        <w:i/>
                      </w:rPr>
                      <w:t>2</w:t>
                    </w:r>
                    <w:r w:rsidRPr="00606022">
                      <w:rPr>
                        <w:rFonts w:ascii="PANDA Times UZ" w:hAnsi="PANDA Times UZ"/>
                        <w:i/>
                      </w:rPr>
                      <w:t xml:space="preserve">–расм. </w:t>
                    </w:r>
                    <w:r w:rsidRPr="00606022">
                      <w:rPr>
                        <w:rFonts w:ascii="PANDA Times UZ" w:hAnsi="PANDA Times UZ"/>
                        <w:i/>
                        <w:lang w:val="en-US"/>
                      </w:rPr>
                      <w:t>B</w:t>
                    </w:r>
                    <w:r w:rsidRPr="00606022">
                      <w:rPr>
                        <w:rFonts w:ascii="PANDA Times UZ" w:hAnsi="PANDA Times UZ"/>
                        <w:i/>
                      </w:rPr>
                      <w:t>2</w:t>
                    </w:r>
                    <w:r w:rsidRPr="00606022">
                      <w:rPr>
                        <w:rFonts w:ascii="PANDA Times UZ" w:hAnsi="PANDA Times UZ"/>
                        <w:i/>
                        <w:lang w:val="en-US"/>
                      </w:rPr>
                      <w:t>B</w:t>
                    </w:r>
                    <w:r w:rsidRPr="00606022">
                      <w:rPr>
                        <w:rFonts w:ascii="PANDA Times UZ" w:hAnsi="PANDA Times UZ"/>
                        <w:i/>
                      </w:rPr>
                      <w:t>-майдонча  (</w:t>
                    </w:r>
                    <w:r>
                      <w:rPr>
                        <w:rFonts w:ascii="PANDA Times UZ" w:hAnsi="PANDA Times UZ"/>
                        <w:i/>
                      </w:rPr>
                      <w:t>э</w:t>
                    </w:r>
                    <w:r w:rsidRPr="00606022">
                      <w:rPr>
                        <w:rFonts w:ascii="PANDA Times UZ" w:hAnsi="PANDA Times UZ"/>
                        <w:i/>
                      </w:rPr>
                      <w:t>лектрон биржа) схемаси</w:t>
                    </w:r>
                    <w:r>
                      <w:rPr>
                        <w:rFonts w:ascii="PANDA Times UZ" w:hAnsi="PANDA Times UZ"/>
                        <w:i/>
                      </w:rPr>
                      <w:t>.</w:t>
                    </w:r>
                    <w:r w:rsidRPr="00606022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</w:p>
                </w:txbxContent>
              </v:textbox>
            </v:shape>
            <v:shape id="_x0000_s1079" type="#_x0000_t202" style="position:absolute;left:5661;top:1955;width:1980;height:360" filled="f" stroked="f">
              <v:textbox style="mso-next-textbox:#_x0000_s1079" inset=".5mm,,.5mm">
                <w:txbxContent>
                  <w:p w:rsidR="00C66332" w:rsidRPr="00A3457F" w:rsidRDefault="00C66332" w:rsidP="00C66332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Таъминловчилар   </w:t>
                    </w:r>
                  </w:p>
                </w:txbxContent>
              </v:textbox>
            </v:shape>
            <v:line id="_x0000_s1080" style="position:absolute" from="4221,2855" to="4221,3215">
              <v:stroke startarrow="block" endarrow="block"/>
            </v:line>
            <v:line id="_x0000_s1081" style="position:absolute" from="6561,2855" to="6561,3215">
              <v:stroke startarrow="block" endarrow="block"/>
            </v:line>
            <v:line id="_x0000_s1082" style="position:absolute" from="8721,2855" to="8721,3215">
              <v:stroke startarrow="block" endarrow="block"/>
            </v:line>
            <v:line id="_x0000_s1083" style="position:absolute" from="4221,3575" to="4221,3935">
              <v:stroke startarrow="block" endarrow="block"/>
            </v:line>
            <v:line id="_x0000_s1084" style="position:absolute" from="4221,4295" to="4221,4835">
              <v:stroke startarrow="block" endarrow="block"/>
            </v:line>
            <v:line id="_x0000_s1085" style="position:absolute" from="6561,3575" to="6561,4835">
              <v:stroke startarrow="block" endarrow="block"/>
            </v:line>
            <v:line id="_x0000_s1086" style="position:absolute" from="8721,3575" to="8721,4835">
              <v:stroke startarrow="block" endarrow="block"/>
            </v:line>
            <v:line id="_x0000_s1087" style="position:absolute" from="4041,9155" to="4041,9695">
              <v:stroke startarrow="block" endarrow="block"/>
            </v:line>
            <v:line id="_x0000_s1088" style="position:absolute" from="6381,9155" to="6381,10415">
              <v:stroke startarrow="block" endarrow="block"/>
            </v:line>
            <v:line id="_x0000_s1089" style="position:absolute" from="8541,9155" to="8541,10415">
              <v:stroke startarrow="block" endarrow="block"/>
            </v:line>
            <v:line id="_x0000_s1090" style="position:absolute" from="4041,10055" to="4041,10415">
              <v:stroke startarrow="block" endarrow="block"/>
            </v:line>
            <v:line id="_x0000_s1091" style="position:absolute" from="4041,10775" to="4041,11135">
              <v:stroke startarrow="block" endarrow="block"/>
            </v:line>
            <v:line id="_x0000_s1092" style="position:absolute" from="6381,10775" to="6381,11135">
              <v:stroke startarrow="block" endarrow="block"/>
            </v:line>
            <v:line id="_x0000_s1093" style="position:absolute" from="8541,10775" to="8541,11135">
              <v:stroke startarrow="block" endarrow="block"/>
            </v:line>
          </v:group>
        </w:pic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jc w:val="center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 xml:space="preserve">2.3.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электрон тўловларни амалга ошириш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га мўлжалланган электрон тўлов тизими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товар ва хизматларни сотиб олиш, сотиш жараёнида молия ташкилотлари, бизнес ташкилотлари, ва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-фойдаланувчилари ўртасида ҳисоблашларни 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га оширувчи тизимдир. Электрон тижоратнинг ҳар қандай тизимининг иши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га мўлжалланган электрон тўлов тизими асосида ўзаро ҳисоблашларни амалга ошириш билан тугайди. Одатда, бу тизимлар мавжуд анъанавий тўлов тизимининг аналоглари бўлиб, асосий фарқи – бутун тўлов жараёни электрон рақам шаклда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имкониятларидан фойдаланган ҳолда амалга оширилади.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Айнан тўлов тизими буюртмаларни ишлаш хизматини ёки электрон витринани барча стандарт атрибутли, талабга тўла жавоб берадиган магази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 айлантиришга имкон беради. Бунда харидор сотувчининг сайтида товар ёки хизматни танлаб компьютердан узоқлашмасдан тўловни амалга ошир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мумкин.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тижорат тизимида туловлар қуйидаги қатор шартларнинг б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жарилишида амалга оширилади: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конфиденциалликнинг сақланиши –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тўловлар амалга оширилишида харидор маълумотларининг (масалан, кр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дит карта номери) фақат қонун билан белгиланган ташкилотла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гина билиши кафолатланиши шарт; 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ахборот яхлитлигининг сақланиши-харид хусусидаги ахборот ҳеч ким томонидан ўзгартирилиши мумкин эмас; 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аутентификация-харидорлар ва сотувчилар иккала томон ҳам ҳақиқий эканлигига ишонч ҳосил қилишлари шарт; 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тўлов воситаларининг қулайлиги - харидорларга қулай бўлган ҳар қандай воситалар билан тўлов имконияти; 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авторизация - жараён, бу жараён кечувида транзакция ўтказилиши хусусидаги талаб тўлов тизими томонидан маъқулланади ёки рад этилади. Бу муолажа харидорнинг маблағи борлигини аниқлашга имкон беради;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сотувчига бўладиган хавф-хатарнинг кафолатлари -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да савдо қилаётганида сотувчи товарни қайтариш ва харидорнинг инсофсизлиги билан боғлиқ кўпгина хавф-хатарга дуч келади. Хавф-хатар миқдори тўлов тизими провайдери ва савдо занжир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га киритилган бошқа ташкилотлар билан махсус битим орқали келишиб олиниши шарт; </w:t>
      </w:r>
    </w:p>
    <w:p w:rsidR="00C66332" w:rsidRPr="00BE7760" w:rsidRDefault="00C66332" w:rsidP="00C6633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транзакция учун тўловни минималлаштириш-буюртма ва това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га тўлов транзакцияларининг ишланиши учун тўлов, табиийки,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варнинг умумий нархига киради, демак, транзакция нархининг пасайиши фирманинг рақобатбардошлигини оширади. Таъки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лаш муҳимки транзакция учун ҳар қандай ҳолатда, ҳатто хар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дор товарни қайтарганда ҳам, тўланиши шарт.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Ҳозирда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-мўлжалланган тўлов тизимининг қуйидаги хиллари ишлатилмоқда: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кредитли (кредит карточкалари билан ишловчи);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дебетли (электрон чеклар ва рақамли нақди билан ишловчи).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Кредит тизимлар.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га мўлжалланган тўлов тизими кредит ка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точкалари билан ишловчи анъанавий тўлов тизимининг аналоги ҳисобланади. Фарқи, барча транзакцияларнинг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ўтказилиши ва натижада, ҳимоялашнинг ва аутентификациянинг қўшимча </w:t>
      </w:r>
      <w:r w:rsidRPr="00BE7760">
        <w:rPr>
          <w:sz w:val="28"/>
          <w:szCs w:val="28"/>
        </w:rPr>
        <w:lastRenderedPageBreak/>
        <w:t>воситалар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зарурлигидадур. Кредит карточкалари мижозга банк томонидан берилган кредит ҳисобидан товарлар ва хизматларни тўлашда ишлатилади. Кредит карточкалари бўйича харид қилинганида тизим карточкани авторизацияла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 ва мижознинг тўлашга қодирлигини текширади.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Ҳозирда мавжуд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га мўлжалланган тўлов тизимлари бир-биридан транзакцияларининг хавфсизлик даражаси ва сотувчи ва харидорга зарур бўлган да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турий таъминоти билан фарқланади.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га мўлжалланган кредитли тўлов тизимининг ишлаши принц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пини кўрайлик (2.3-расм.)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Кредит карталари ёрдамида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тўловларни амалга 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ришда қуйидагилар қатнашади: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харидор –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-браузерли компььютерга эга ва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дан фойдалана олувчи мижоз;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банк–эмитент – бунда харидорнинг ҳисоб счети жойлашган. Банк-эмитент карточкалар чиқаради ва мижознинг молиявий мажбуриятларини бажарилишига кафил ҳисобланади;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сотувчилар – товарлар ва хизматлар каталогларини олиб бору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 ва мижозлардан харидга буюртма олувчи серверлар;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банк-эквайерлар – сотувчиларга хизмат кўрсатувчи банклар. Ҳар бир сотувчи ҳисоб счетини сақловчи ягона банкка эга;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нинг тўлов тизими-бошқа қатнашчилар ўртасида вос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тачи вазифасини ўтовчи электрон компонентлар;</w:t>
      </w:r>
    </w:p>
    <w:p w:rsidR="00C66332" w:rsidRPr="00BE7760" w:rsidRDefault="00C66332" w:rsidP="00C66332">
      <w:pPr>
        <w:spacing w:line="360" w:lineRule="auto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94" style="position:absolute;left:0;text-align:left;margin-left:0;margin-top:0;width:468pt;height:4in;z-index:251662336" coordorigin="900,3780" coordsize="9360,5760">
            <v:shape id="_x0000_s1095" type="#_x0000_t202" style="position:absolute;left:900;top:4140;width:1800;height:900">
              <v:textbox style="mso-next-textbox:#_x0000_s1095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 w:rsidRPr="00B95166">
                      <w:rPr>
                        <w:rFonts w:ascii="PANDA Times UZ" w:hAnsi="PANDA Times UZ"/>
                      </w:rPr>
                      <w:t>Харидор</w:t>
                    </w: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(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Web-</w:t>
                    </w:r>
                    <w:r>
                      <w:rPr>
                        <w:rFonts w:ascii="PANDA Times UZ" w:hAnsi="PANDA Times UZ"/>
                      </w:rPr>
                      <w:t>браузер)</w:t>
                    </w:r>
                  </w:p>
                </w:txbxContent>
              </v:textbox>
            </v:shape>
            <v:shape id="_x0000_s1096" type="#_x0000_t202" style="position:absolute;left:5760;top:4140;width:1800;height:900">
              <v:textbox style="mso-next-textbox:#_x0000_s1096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  <w:lang w:val="en-US"/>
                      </w:rPr>
                      <w:t xml:space="preserve">Internet </w:t>
                    </w:r>
                    <w:r>
                      <w:rPr>
                        <w:rFonts w:ascii="PANDA Times UZ" w:hAnsi="PANDA Times UZ"/>
                      </w:rPr>
                      <w:t>т¢лов тиз</w:t>
                    </w:r>
                    <w:r>
                      <w:rPr>
                        <w:rFonts w:ascii="PANDA Times UZ" w:hAnsi="PANDA Times UZ"/>
                      </w:rPr>
                      <w:t>и</w:t>
                    </w:r>
                    <w:r>
                      <w:rPr>
                        <w:rFonts w:ascii="PANDA Times UZ" w:hAnsi="PANDA Times UZ"/>
                      </w:rPr>
                      <w:t>ми</w:t>
                    </w:r>
                  </w:p>
                </w:txbxContent>
              </v:textbox>
            </v:shape>
            <v:shape id="_x0000_s1097" type="#_x0000_t202" style="position:absolute;left:8100;top:4140;width:2160;height:900">
              <v:textbox style="mso-next-textbox:#_x0000_s1097" inset=".5mm,,.5mm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Т¢лов тизимининг </w:t>
                    </w:r>
                    <w:r w:rsidRPr="005A5774">
                      <w:t>ҳаракати</w:t>
                    </w:r>
                    <w:r>
                      <w:rPr>
                        <w:rFonts w:ascii="PANDA Times UZ" w:hAnsi="PANDA Times UZ"/>
                      </w:rPr>
                      <w:t xml:space="preserve"> маркази</w:t>
                    </w:r>
                  </w:p>
                </w:txbxContent>
              </v:textbox>
            </v:shape>
            <v:shape id="_x0000_s1098" type="#_x0000_t202" style="position:absolute;left:900;top:5940;width:1800;height:900">
              <v:textbox style="mso-next-textbox:#_x0000_s1098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Банк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-</w:t>
                    </w:r>
                    <w:r>
                      <w:rPr>
                        <w:rFonts w:ascii="PANDA Times UZ" w:hAnsi="PANDA Times UZ"/>
                      </w:rPr>
                      <w:t>эмитент</w:t>
                    </w:r>
                  </w:p>
                </w:txbxContent>
              </v:textbox>
            </v:shape>
            <v:shape id="_x0000_s1099" type="#_x0000_t202" style="position:absolute;left:3450;top:6150;width:1800;height:900">
              <v:textbox style="mso-next-textbox:#_x0000_s1099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Банк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-</w:t>
                    </w:r>
                    <w:r>
                      <w:rPr>
                        <w:rFonts w:ascii="PANDA Times UZ" w:hAnsi="PANDA Times UZ"/>
                      </w:rPr>
                      <w:t>эквайер</w:t>
                    </w:r>
                  </w:p>
                </w:txbxContent>
              </v:textbox>
            </v:shape>
            <v:shape id="_x0000_s1100" type="#_x0000_t202" style="position:absolute;left:5760;top:5940;width:1800;height:900">
              <v:textbox style="mso-next-textbox:#_x0000_s1100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Ќисоб ба</w:t>
                    </w:r>
                    <w:r>
                      <w:rPr>
                        <w:rFonts w:ascii="PANDA Times UZ" w:hAnsi="PANDA Times UZ"/>
                      </w:rPr>
                      <w:t>н</w:t>
                    </w:r>
                    <w:r>
                      <w:rPr>
                        <w:rFonts w:ascii="PANDA Times UZ" w:hAnsi="PANDA Times UZ"/>
                      </w:rPr>
                      <w:t>ки</w:t>
                    </w:r>
                  </w:p>
                </w:txbxContent>
              </v:textbox>
            </v:shape>
            <v:shape id="_x0000_s1101" type="#_x0000_t202" style="position:absolute;left:900;top:7740;width:1800;height:900">
              <v:textbox style="mso-next-textbox:#_x0000_s1101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Счетлар МБ</w:t>
                    </w:r>
                  </w:p>
                </w:txbxContent>
              </v:textbox>
            </v:shape>
            <v:line id="_x0000_s1102" style="position:absolute;flip:x" from="7560,4320" to="8100,4320">
              <v:stroke endarrow="block"/>
            </v:line>
            <v:line id="_x0000_s1103" style="position:absolute;flip:x" from="7560,4680" to="8100,4680">
              <v:stroke startarrow="block"/>
            </v:line>
            <v:line id="_x0000_s1104" style="position:absolute;flip:x" from="5040,4500" to="5760,4500">
              <v:stroke endarrow="block"/>
            </v:line>
            <v:line id="_x0000_s1105" style="position:absolute;flip:x" from="5040,4860" to="5760,4860">
              <v:stroke startarrow="block"/>
            </v:line>
            <v:line id="_x0000_s1106" style="position:absolute;flip:x" from="2700,4320" to="3240,4320">
              <v:stroke endarrow="block"/>
            </v:line>
            <v:line id="_x0000_s1107" style="position:absolute;flip:x" from="2700,4680" to="3240,4680">
              <v:stroke startarrow="block"/>
            </v:line>
            <v:shape id="_x0000_s1108" type="#_x0000_t202" style="position:absolute;left:3465;top:4350;width:1800;height:900">
              <v:shadow offset="5pt" offset2="6pt"/>
              <v:textbox style="mso-next-textbox:#_x0000_s1108">
                <w:txbxContent>
                  <w:p w:rsidR="00C66332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Магазин </w:t>
                    </w:r>
                  </w:p>
                </w:txbxContent>
              </v:textbox>
            </v:shape>
            <v:shape id="_x0000_s1109" type="#_x0000_t202" style="position:absolute;left:3360;top:4245;width:1800;height:900">
              <v:shadow offset="5pt" offset2="6pt"/>
              <v:textbox style="mso-next-textbox:#_x0000_s1109">
                <w:txbxContent>
                  <w:p w:rsidR="00C66332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</w:txbxContent>
              </v:textbox>
            </v:shape>
            <v:shape id="_x0000_s1110" type="#_x0000_t202" style="position:absolute;left:3345;top:6045;width:1800;height:900">
              <v:textbox style="mso-next-textbox:#_x0000_s1110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Банк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-</w:t>
                    </w:r>
                    <w:r>
                      <w:rPr>
                        <w:rFonts w:ascii="PANDA Times UZ" w:hAnsi="PANDA Times UZ"/>
                      </w:rPr>
                      <w:t>эквайер</w:t>
                    </w:r>
                  </w:p>
                </w:txbxContent>
              </v:textbox>
            </v:shape>
            <v:shape id="_x0000_s1111" type="#_x0000_t202" style="position:absolute;left:3240;top:5940;width:1800;height:900">
              <v:textbox style="mso-next-textbox:#_x0000_s1111">
                <w:txbxContent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Pr="00B95166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Банк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-</w:t>
                    </w:r>
                    <w:r>
                      <w:rPr>
                        <w:rFonts w:ascii="PANDA Times UZ" w:hAnsi="PANDA Times UZ"/>
                      </w:rPr>
                      <w:t>эквайер</w:t>
                    </w:r>
                  </w:p>
                </w:txbxContent>
              </v:textbox>
            </v:shape>
            <v:line id="_x0000_s1112" style="position:absolute" from="2160,6840" to="2160,7380"/>
            <v:line id="_x0000_s1113" style="position:absolute" from="2160,7380" to="6660,7380"/>
            <v:line id="_x0000_s1114" style="position:absolute;flip:y" from="6660,6840" to="6660,7380"/>
            <v:line id="_x0000_s1115" style="position:absolute" from="1440,6840" to="1440,7740"/>
            <v:line id="_x0000_s1116" style="position:absolute" from="1260,5040" to="1260,5940">
              <v:stroke dashstyle="dash"/>
            </v:line>
            <v:line id="_x0000_s1117" style="position:absolute" from="1800,5040" to="1800,5760"/>
            <v:line id="_x0000_s1118" style="position:absolute" from="1800,5760" to="6660,5760"/>
            <v:line id="_x0000_s1119" style="position:absolute;flip:y" from="6660,5040" to="6660,5760">
              <v:stroke endarrow="block"/>
            </v:line>
            <v:line id="_x0000_s1120" style="position:absolute" from="6300,5040" to="6300,5580"/>
            <v:line id="_x0000_s1121" style="position:absolute;flip:x" from="2160,5580" to="6300,5580"/>
            <v:line id="_x0000_s1122" style="position:absolute;flip:y" from="2160,5040" to="2160,5580">
              <v:stroke endarrow="block"/>
            </v:line>
            <v:line id="_x0000_s1123" style="position:absolute" from="3600,5040" to="3600,5940">
              <v:stroke dashstyle="dash"/>
            </v:line>
            <v:line id="_x0000_s1124" style="position:absolute" from="4140,5160" to="4140,5937">
              <v:stroke dashstyle="dash"/>
            </v:line>
            <v:line id="_x0000_s1125" style="position:absolute" from="4680,5250" to="4680,5930">
              <v:stroke dashstyle="dash"/>
            </v:line>
            <v:line id="_x0000_s1126" style="position:absolute;flip:y" from="4140,3780" to="4140,4140"/>
            <v:line id="_x0000_s1127" style="position:absolute;flip:x" from="1800,3780" to="4140,3780"/>
            <v:line id="_x0000_s1128" style="position:absolute" from="1800,3780" to="1800,4140">
              <v:stroke endarrow="block"/>
            </v:line>
            <v:line id="_x0000_s1129" style="position:absolute" from="8640,5040" to="8640,6300"/>
            <v:line id="_x0000_s1130" style="position:absolute;flip:x" from="7560,6300" to="8640,6300">
              <v:stroke endarrow="block"/>
            </v:line>
            <v:line id="_x0000_s1131" style="position:absolute;flip:x" from="5040,6480" to="5760,6480"/>
            <v:line id="_x0000_s1132" style="position:absolute" from="2700,8460" to="9900,8460">
              <v:stroke dashstyle="dash" startarrow="block"/>
            </v:line>
            <v:line id="_x0000_s1133" style="position:absolute;flip:y" from="9900,5040" to="9900,8460">
              <v:stroke dashstyle="dash"/>
            </v:line>
            <v:line id="_x0000_s1134" style="position:absolute" from="9360,5040" to="9360,8100">
              <v:stroke dashstyle="dash" startarrow="block"/>
            </v:line>
            <v:line id="_x0000_s1135" style="position:absolute;flip:x" from="2700,8100" to="9360,8100">
              <v:stroke dashstyle="dash"/>
            </v:line>
            <v:shape id="_x0000_s1136" type="#_x0000_t202" style="position:absolute;left:1485;top:3855;width:360;height:360" filled="f" stroked="f">
              <v:textbox style="mso-next-textbox:#_x0000_s1136" inset="0,0,0,0">
                <w:txbxContent>
                  <w:p w:rsidR="00C66332" w:rsidRPr="007447E7" w:rsidRDefault="00C66332" w:rsidP="00C66332">
                    <w:pPr>
                      <w:rPr>
                        <w:sz w:val="20"/>
                        <w:szCs w:val="20"/>
                      </w:rPr>
                    </w:pPr>
                    <w:r w:rsidRPr="007447E7">
                      <w:rPr>
                        <w:sz w:val="20"/>
                        <w:szCs w:val="20"/>
                      </w:rPr>
                      <w:t>8а</w:t>
                    </w:r>
                  </w:p>
                </w:txbxContent>
              </v:textbox>
            </v:shape>
            <v:shape id="_x0000_s1137" type="#_x0000_t202" style="position:absolute;left:2925;top:4080;width:360;height:360" filled="f" stroked="f">
              <v:textbox style="mso-next-textbox:#_x0000_s1137" inset="0,0,0,0">
                <w:txbxContent>
                  <w:p w:rsidR="00C66332" w:rsidRPr="007447E7" w:rsidRDefault="00C66332" w:rsidP="00C6633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</w:t>
                    </w:r>
                    <w:r w:rsidRPr="007447E7">
                      <w:rPr>
                        <w:sz w:val="20"/>
                        <w:szCs w:val="20"/>
                      </w:rPr>
                      <w:t>а</w:t>
                    </w:r>
                  </w:p>
                </w:txbxContent>
              </v:textbox>
            </v:shape>
            <v:shape id="_x0000_s1138" type="#_x0000_t202" style="position:absolute;left:5400;top:4140;width:360;height:360" filled="f" stroked="f">
              <v:textbox style="mso-next-textbox:#_x0000_s1138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  <v:shape id="_x0000_s1139" type="#_x0000_t202" style="position:absolute;left:7740;top:4050;width:360;height:360" filled="f" stroked="f">
              <v:textbox style="mso-next-textbox:#_x0000_s1139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140" type="#_x0000_t202" style="position:absolute;left:7650;top:4785;width:360;height:360" filled="f" stroked="f">
              <v:textbox style="mso-next-textbox:#_x0000_s1140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141" type="#_x0000_t202" style="position:absolute;left:5325;top:4950;width:360;height:360" filled="f" stroked="f">
              <v:textbox style="mso-next-textbox:#_x0000_s1141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2а</w:t>
                    </w:r>
                  </w:p>
                </w:txbxContent>
              </v:textbox>
            </v:shape>
            <v:shape id="_x0000_s1142" type="#_x0000_t202" style="position:absolute;left:2775;top:4785;width:360;height:360" filled="f" stroked="f">
              <v:textbox style="mso-next-textbox:#_x0000_s1142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143" type="#_x0000_t202" style="position:absolute;left:2235;top:5370;width:360;height:360" filled="f" stroked="f">
              <v:textbox style="mso-next-textbox:#_x0000_s1143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7б</w:t>
                    </w:r>
                  </w:p>
                </w:txbxContent>
              </v:textbox>
            </v:shape>
            <v:shape id="_x0000_s1144" type="#_x0000_t202" style="position:absolute;left:6660;top:5400;width:360;height:360" filled="f" stroked="f">
              <v:textbox style="mso-next-textbox:#_x0000_s1144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2б</w:t>
                    </w:r>
                  </w:p>
                </w:txbxContent>
              </v:textbox>
            </v:shape>
            <v:shape id="_x0000_s1145" type="#_x0000_t202" style="position:absolute;left:8280;top:5940;width:360;height:360" filled="f" stroked="f">
              <v:textbox style="mso-next-textbox:#_x0000_s1145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8б</w:t>
                    </w:r>
                  </w:p>
                </w:txbxContent>
              </v:textbox>
            </v:shape>
            <v:shape id="_x0000_s1146" type="#_x0000_t202" style="position:absolute;left:2940;top:7860;width:360;height:360" filled="f" stroked="f">
              <v:textbox style="mso-next-textbox:#_x0000_s1146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4б</w:t>
                    </w:r>
                  </w:p>
                </w:txbxContent>
              </v:textbox>
            </v:shape>
            <v:shape id="_x0000_s1147" type="#_x0000_t202" style="position:absolute;left:3240;top:8460;width:360;height:360" filled="f" stroked="f">
              <v:textbox style="mso-next-textbox:#_x0000_s1147" inset="0,0,0,0">
                <w:txbxContent>
                  <w:p w:rsidR="00C66332" w:rsidRPr="007447E7" w:rsidRDefault="00C66332" w:rsidP="00C6633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4а</w:t>
                    </w:r>
                  </w:p>
                </w:txbxContent>
              </v:textbox>
            </v:shape>
            <v:shape id="_x0000_s1148" type="#_x0000_t202" style="position:absolute;left:900;top:9000;width:9180;height:540" filled="f" stroked="f">
              <v:textbox style="mso-next-textbox:#_x0000_s1148">
                <w:txbxContent>
                  <w:p w:rsidR="00C66332" w:rsidRPr="00945B7E" w:rsidRDefault="00C66332" w:rsidP="00C66332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945B7E">
                      <w:rPr>
                        <w:rFonts w:ascii="PANDA Times UZ" w:hAnsi="PANDA Times UZ"/>
                        <w:i/>
                      </w:rPr>
                      <w:t>2.</w:t>
                    </w:r>
                    <w:r>
                      <w:rPr>
                        <w:rFonts w:ascii="PANDA Times UZ" w:hAnsi="PANDA Times UZ"/>
                        <w:i/>
                        <w:lang w:val="en-US"/>
                      </w:rPr>
                      <w:t>3</w:t>
                    </w:r>
                    <w:r w:rsidRPr="00945B7E">
                      <w:rPr>
                        <w:rFonts w:ascii="PANDA Times UZ" w:hAnsi="PANDA Times UZ"/>
                        <w:i/>
                      </w:rPr>
                      <w:t>–расм.</w:t>
                    </w:r>
                    <w:r w:rsidRPr="00945B7E">
                      <w:rPr>
                        <w:rFonts w:ascii="PANDA Times UZ" w:hAnsi="PANDA Times UZ"/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945B7E">
                      <w:rPr>
                        <w:rFonts w:ascii="PANDA Times UZ" w:hAnsi="PANDA Times UZ"/>
                        <w:i/>
                        <w:lang w:val="en-US"/>
                      </w:rPr>
                      <w:t>Internet</w:t>
                    </w:r>
                    <w:r w:rsidRPr="00945B7E">
                      <w:rPr>
                        <w:rFonts w:ascii="PANDA Times UZ" w:hAnsi="PANDA Times UZ"/>
                        <w:i/>
                      </w:rPr>
                      <w:t>га м¢лжалланган кредит т¢лов тизимининг умумий схемаси.</w:t>
                    </w:r>
                  </w:p>
                </w:txbxContent>
              </v:textbox>
            </v:shape>
            <v:shape id="_x0000_s1149" type="#_x0000_t202" style="position:absolute;left:3240;top:4140;width:1800;height:900">
              <v:shadow offset="5pt" offset2="6pt"/>
              <v:textbox style="mso-next-textbox:#_x0000_s1149">
                <w:txbxContent>
                  <w:p w:rsidR="00C66332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</w:p>
                  <w:p w:rsidR="00C66332" w:rsidRDefault="00C66332" w:rsidP="00C66332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Магазин </w:t>
                    </w:r>
                  </w:p>
                </w:txbxContent>
              </v:textbox>
            </v:shape>
          </v:group>
        </w:pic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анъанавий тўлов тизими – карталарга хизмат қилувчи моли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вий ва технологик воситалар;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тўлов тизимининг харакат маркази – анъанавий тўлов тизими қатнашчилари ўртасида ахборот ва технологик алоқаларни таъминловчи ташкилот;</w:t>
      </w:r>
    </w:p>
    <w:p w:rsidR="00C66332" w:rsidRPr="00BE7760" w:rsidRDefault="00C66332" w:rsidP="00C6633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тўлов тизимининг ҳисоб банки – ҳаракат марказининг топшириғи бўйича тўлов тизими қатнашчилари ўртасида ўзаро ҳисобни бажарувчи кредит ташкилот.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Тўловларни схемаси қуйидагича амалга оширилади (2.3-расмга қаралсин).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Харидор электрон магазинда товарлар саватини шакллант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ради ва "кредит картаси" тўлов усулини танлайди.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Сўнгра кредит картасининг параметрлари (номерли, эгас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исми, ўз кучини йўқотиш санаси) кейинги авторизаци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лаш учун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нинг тўлов тизимига узатилиши лозим. Бу амал иккита усул ёрдамида бажарилиши мумкин: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магазин орқали, яъни карта параметрлари бевосита магазин сайтига киритилади, сўнгра улар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нинг тўлов тизимига узатилади (2а);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тўлов тизимининг серверида (2б). 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Иккинчи йўлнинг афзаллиги равшан. Бу ҳолда карталар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сидаги маълумот магазинда қолмайди ва, демак, унга учинчи шахснинг эга бўлиши ёки сотувчининг алдаши хавф-хатари пасаяди. Иккала усулда ҳам кредит карта реквизитларини уз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тишда нияти бузуқ одамлар томонидан уларнинг тармоқда ушлаб қолиш имконияти мавжуд. Буни олдини олиш учун карта тўғрисидаги маълумот шифрланиб узатилади. Демак, харидор-сотувчи, сотувчи-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тўлов тизими, харидор-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 тўлов тизими алоқалари ҳимояланган протоколлар ёрдамида амалга оширилиши мақсадга мувофиқ ҳисобланади.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Internetнинг тўлов тизими сўровни авторизациялаш учун ан</w:t>
      </w:r>
      <w:r w:rsidRPr="00BE7760">
        <w:rPr>
          <w:sz w:val="28"/>
          <w:szCs w:val="28"/>
        </w:rPr>
        <w:t>ъ</w:t>
      </w:r>
      <w:r w:rsidRPr="00BE7760">
        <w:rPr>
          <w:sz w:val="28"/>
          <w:szCs w:val="28"/>
        </w:rPr>
        <w:t>анавий тўлов тизимига узатади.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Кейинги қадам банк-эмитентнинг счетларининг онлайнли маълумотлар базасини олиб боришига боғлиқ. Маълумотлар базаси бўлса ҳаракат маркази картани авторизациялаш учун банк-эмитентга узатади(4а) ва сўнгра унинг натижасини ол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ди(4б). Агар бундай база бўлмаса, ҳаракат маркази карта эг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лари счетининг ҳолати тўғрисидаги маълумотни, стоп-варақаларни ўзи сақлайди ва авторизация сўровини бажар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 Бу маълумотлар банк эмитентлар томонидан мунтазам янг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ланиб турилади.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Авторизация натижаси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тўлов тизимига узатилади.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Магазин авторизация натижасини олади.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Харидор авторизация натижасини магазин орқали (7а) ёки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восита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тулов тизими орқали (7б) олади.</w:t>
      </w:r>
    </w:p>
    <w:p w:rsidR="00C66332" w:rsidRPr="00BE7760" w:rsidRDefault="00C66332" w:rsidP="00C663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Авторизациянинг ижобий натижасида: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магазин хизмат кўрсатади ёки товар жўнатади (8а);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ҳаракат маркази ҳисоб банкига бажарилган транзакция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сида ҳисоб банкига маълумот беради (8б). Харидорнинг банк-эмитентдаги счетидан магазиннинг банк-эквайеридаги счет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га пул ўтказилади.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Кредит карточкали тўлов тизимининг камчиликлари сифатида қуйидагиларни кўрсатиш мумкин: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харидор учун кредит счетини очиш зарурияти;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карточкаларни  авторизациялаш ва мижознинг тўлашга қодирлигини текшириш зарурияти транзакция ўтказишдаги чиқимларнинг ўсишига олиб келади ва бундай тизимларнинг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тўлов тизимнинг мақсадли бозори бўлган микротў-ловларга мосланишини ёмонлаштиради;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кредит карточкаларни тўловга қабул қилувчи магазинлар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нининг чегараланганлиги;</w:t>
      </w:r>
    </w:p>
    <w:p w:rsidR="00C66332" w:rsidRPr="00BE7760" w:rsidRDefault="00C66332" w:rsidP="00C66332">
      <w:pPr>
        <w:spacing w:line="360" w:lineRule="auto"/>
        <w:ind w:left="183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анонимликнинг йўқлиги ва бунинг натижасида савдо стру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туралари томонидан сервис кўрсатилиши.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хил тизимлар ичида оммавий тус олганлари – </w:t>
      </w:r>
      <w:r w:rsidRPr="00BE7760">
        <w:rPr>
          <w:sz w:val="28"/>
          <w:szCs w:val="28"/>
          <w:lang w:val="en-US"/>
        </w:rPr>
        <w:t>First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Virtual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Open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Market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Cyber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Cash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SET</w:t>
      </w:r>
      <w:r w:rsidRPr="00BE7760">
        <w:rPr>
          <w:sz w:val="28"/>
          <w:szCs w:val="28"/>
        </w:rPr>
        <w:t xml:space="preserve"> протоколидан фойдаланувчи тўлов тизимлари.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Дебет тизимлари. Дебет тўлов тизимлари чеклар ва нақд пулларнинг рақамли эквивалентларидан фойдаланишга асосланган. Тўловларнинг дебет схемалари уларнинг чекли ва оддий пулли офлайн прототипларига ухшаш қурилган. Схемада иккита мустақил томон: эмитентлар ва фойдаланувч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лар иштирок этади. Эмитент деганда тўлов тизимини бошқарувчи субъект туш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нилади. У тўлов воситаларини (масалан, банк счетларидаги пуллар) ифод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ловчи қандайдир электрон бирликларни чиқаради. Тизим фойдаланувчилари иккита бош вазифани бажаради. Улар чиқарилган электрон бирликлардан фойдаланиб тўловларни ўтказади ва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га қабул қилади. Таъкидлаш муҳимки, мижоз фақат ушбу онда унинг банк счетидаги маблағга эгалик қилиши мумкин. Тўлов амаллари </w:t>
      </w:r>
      <w:r w:rsidRPr="00BE7760">
        <w:rPr>
          <w:sz w:val="28"/>
          <w:szCs w:val="28"/>
        </w:rPr>
        <w:lastRenderedPageBreak/>
        <w:t>мижознинг молиявий активи ўлчамини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майтириш йўли билан амалга оширилади.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чеклар оддий қоғоз чекларининг аналогидир. У тўловчининг ўзининг банкидаги счетидан тўлов қабул қилувчи счетига пул ўтказиш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сидаги фармойишидан иборат. Бу амал олувчининг банкда чекни кўрсатиши билан амалга оширилади.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чекнинг қоғоз чекдан асосий фарқи қуйидагилар: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қоғоз чекни тўлдирганда, тўловчи ўзининг ҳақиқий имзосини қўйса, онлайн вариантида эса рақамли электрон имзо ишлатилади;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чекларнинг ўзи электрон кўринишда берилади.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пуллар реал пулларни тўла моделлайди. Бунда эмиссион ташкилот-эмитент реал пулларнинг турли тизимларда турлича номланувчи (масалан, купонлар) электрон аналогларини чиқарадилар. Уларни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нувчилар сотиб олиб улар ёрдамида харидлар учун тўлайдилар, сўнгра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тувчи эмитентда уларни бекор қилади. Эмиссия вақтида ҳар бир пул бирлиги бекор қилинишидан аввал уни чиқарувчи структура томонидан текширил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диган электрон муҳр орқали тасдиқланади.</w:t>
      </w:r>
    </w:p>
    <w:p w:rsidR="00C66332" w:rsidRPr="00BE7760" w:rsidRDefault="00C66332" w:rsidP="00C66332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Физик пулларнинг хусусиятларидан бири-уларниниг анонимлиги, яъни уларга қачон ва ким ишлатгани кўрсатилмайди. Баъзи тўлов тизимлари хар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дорга аналогия бўйича электрон нақд пулни шундай олишга имкон туғдирадики, улар билан пул орасидаги боғлиқликни аниқлаш мумкин бўлмайди. Бу кўр имзолар деб аталувчи схемалар ёрдамида амалга оширил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ди. 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156B"/>
    <w:multiLevelType w:val="hybridMultilevel"/>
    <w:tmpl w:val="9C12E20A"/>
    <w:lvl w:ilvl="0" w:tplc="7BC6E1CA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B324AD"/>
    <w:multiLevelType w:val="hybridMultilevel"/>
    <w:tmpl w:val="668EC8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2CB5CFE"/>
    <w:multiLevelType w:val="hybridMultilevel"/>
    <w:tmpl w:val="BB0C7590"/>
    <w:lvl w:ilvl="0" w:tplc="8E6E8424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6332"/>
    <w:rsid w:val="0040613A"/>
    <w:rsid w:val="00442697"/>
    <w:rsid w:val="008D4083"/>
    <w:rsid w:val="00A93C87"/>
    <w:rsid w:val="00B10225"/>
    <w:rsid w:val="00C53144"/>
    <w:rsid w:val="00C53F18"/>
    <w:rsid w:val="00C66332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2519</Words>
  <Characters>14364</Characters>
  <Application>Microsoft Office Word</Application>
  <DocSecurity>0</DocSecurity>
  <Lines>119</Lines>
  <Paragraphs>33</Paragraphs>
  <ScaleCrop>false</ScaleCrop>
  <Company/>
  <LinksUpToDate>false</LinksUpToDate>
  <CharactersWithSpaces>16850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2012-09-22T06:35:00Z</dcterms:created>
  <dcterms:modified xsi:type="dcterms:W3CDTF">2012-09-22T06:35:00Z</dcterms:modified>
</cp:coreProperties>
</file>